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2D2" w:rsidRPr="003123A5" w:rsidRDefault="007532D2" w:rsidP="00E50F24">
      <w:pPr>
        <w:spacing w:after="0"/>
        <w:rPr>
          <w:rFonts w:ascii="Arial" w:hAnsi="Arial" w:cs="Arial"/>
          <w:b/>
          <w:sz w:val="24"/>
          <w:szCs w:val="24"/>
        </w:rPr>
      </w:pPr>
      <w:r w:rsidRPr="003123A5">
        <w:rPr>
          <w:rFonts w:ascii="Arial" w:hAnsi="Arial" w:cs="Arial"/>
          <w:b/>
          <w:sz w:val="24"/>
          <w:szCs w:val="24"/>
        </w:rPr>
        <w:t xml:space="preserve"> </w:t>
      </w:r>
      <w:r w:rsidR="007F3DF6">
        <w:rPr>
          <w:rFonts w:ascii="Arial" w:hAnsi="Arial" w:cs="Arial"/>
          <w:b/>
          <w:sz w:val="24"/>
          <w:szCs w:val="24"/>
        </w:rPr>
        <w:t>Curriculum</w:t>
      </w:r>
      <w:r w:rsidR="00F91B40" w:rsidRPr="003123A5">
        <w:rPr>
          <w:rFonts w:ascii="Arial" w:hAnsi="Arial" w:cs="Arial"/>
          <w:b/>
          <w:sz w:val="24"/>
          <w:szCs w:val="24"/>
        </w:rPr>
        <w:t xml:space="preserve"> Map</w:t>
      </w:r>
      <w:r w:rsidR="007F3DF6">
        <w:rPr>
          <w:rFonts w:ascii="Arial" w:hAnsi="Arial" w:cs="Arial"/>
          <w:b/>
          <w:sz w:val="24"/>
          <w:szCs w:val="24"/>
        </w:rPr>
        <w:t xml:space="preserve"> </w:t>
      </w:r>
      <w:r w:rsidR="00CB7282">
        <w:rPr>
          <w:rFonts w:ascii="Arial" w:hAnsi="Arial" w:cs="Arial"/>
          <w:b/>
          <w:sz w:val="24"/>
          <w:szCs w:val="24"/>
        </w:rPr>
        <w:t xml:space="preserve">Year </w:t>
      </w:r>
      <w:r w:rsidR="005C6178">
        <w:rPr>
          <w:rFonts w:ascii="Arial" w:hAnsi="Arial" w:cs="Arial"/>
          <w:b/>
          <w:sz w:val="24"/>
          <w:szCs w:val="24"/>
        </w:rPr>
        <w:t xml:space="preserve">8 </w:t>
      </w:r>
      <w:r w:rsidR="00CB7282">
        <w:rPr>
          <w:rFonts w:ascii="Arial" w:hAnsi="Arial" w:cs="Arial"/>
          <w:b/>
          <w:sz w:val="24"/>
          <w:szCs w:val="24"/>
        </w:rPr>
        <w:t xml:space="preserve">Food Curriculum </w:t>
      </w:r>
      <w:proofErr w:type="gramStart"/>
      <w:r w:rsidR="00CB7282">
        <w:rPr>
          <w:rFonts w:ascii="Arial" w:hAnsi="Arial" w:cs="Arial"/>
          <w:b/>
          <w:sz w:val="24"/>
          <w:szCs w:val="24"/>
        </w:rPr>
        <w:t xml:space="preserve">Map </w:t>
      </w:r>
      <w:r w:rsidR="00243919">
        <w:rPr>
          <w:rFonts w:ascii="Arial" w:hAnsi="Arial" w:cs="Arial"/>
          <w:b/>
          <w:sz w:val="24"/>
          <w:szCs w:val="24"/>
        </w:rPr>
        <w:t xml:space="preserve"> 2022</w:t>
      </w:r>
      <w:proofErr w:type="gramEnd"/>
      <w:r w:rsidR="00243919">
        <w:rPr>
          <w:rFonts w:ascii="Arial" w:hAnsi="Arial" w:cs="Arial"/>
          <w:b/>
          <w:sz w:val="24"/>
          <w:szCs w:val="24"/>
        </w:rPr>
        <w:t xml:space="preserve"> – 2023 </w:t>
      </w:r>
    </w:p>
    <w:p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21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835"/>
        <w:gridCol w:w="3118"/>
        <w:gridCol w:w="3260"/>
        <w:gridCol w:w="2835"/>
        <w:gridCol w:w="4043"/>
        <w:gridCol w:w="3754"/>
      </w:tblGrid>
      <w:tr w:rsidR="007532D2" w:rsidTr="002874FD">
        <w:trPr>
          <w:trHeight w:hRule="exact" w:val="417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7532D2" w:rsidRPr="008049F3" w:rsidRDefault="007532D2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gridSpan w:val="2"/>
            <w:shd w:val="clear" w:color="auto" w:fill="D9D9D9" w:themeFill="background1" w:themeFillShade="D9"/>
            <w:vAlign w:val="center"/>
          </w:tcPr>
          <w:p w:rsidR="007532D2" w:rsidRPr="008049F3" w:rsidRDefault="00B567D1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  <w:vAlign w:val="center"/>
          </w:tcPr>
          <w:p w:rsidR="007532D2" w:rsidRPr="008049F3" w:rsidRDefault="007532D2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2</w:t>
            </w:r>
          </w:p>
        </w:tc>
        <w:tc>
          <w:tcPr>
            <w:tcW w:w="7797" w:type="dxa"/>
            <w:gridSpan w:val="2"/>
            <w:shd w:val="clear" w:color="auto" w:fill="D9D9D9" w:themeFill="background1" w:themeFillShade="D9"/>
            <w:vAlign w:val="center"/>
          </w:tcPr>
          <w:p w:rsidR="007532D2" w:rsidRPr="008049F3" w:rsidRDefault="007532D2" w:rsidP="008049F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BLOCK 3</w:t>
            </w:r>
          </w:p>
        </w:tc>
      </w:tr>
      <w:tr w:rsidR="008049F3" w:rsidTr="002874FD">
        <w:trPr>
          <w:trHeight w:hRule="exact" w:val="241"/>
          <w:jc w:val="center"/>
        </w:trPr>
        <w:tc>
          <w:tcPr>
            <w:tcW w:w="2112" w:type="dxa"/>
            <w:shd w:val="clear" w:color="auto" w:fill="D9D9D9" w:themeFill="background1" w:themeFillShade="D9"/>
            <w:vAlign w:val="center"/>
          </w:tcPr>
          <w:p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049F3" w:rsidRPr="003123A5" w:rsidRDefault="00B567D1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Half </w:t>
            </w:r>
            <w:r w:rsidR="00104B50">
              <w:rPr>
                <w:rFonts w:ascii="Arial" w:hAnsi="Arial" w:cs="Arial"/>
                <w:b/>
                <w:sz w:val="20"/>
                <w:szCs w:val="20"/>
              </w:rPr>
              <w:t>Te</w:t>
            </w:r>
            <w:r w:rsidR="008049F3" w:rsidRPr="003123A5">
              <w:rPr>
                <w:rFonts w:ascii="Arial" w:hAnsi="Arial" w:cs="Arial"/>
                <w:b/>
                <w:sz w:val="20"/>
                <w:szCs w:val="20"/>
              </w:rPr>
              <w:t>rm 1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8049F3" w:rsidRPr="003123A5" w:rsidRDefault="00B567D1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Half t</w:t>
            </w:r>
            <w:r w:rsidR="008049F3" w:rsidRPr="003123A5">
              <w:rPr>
                <w:rFonts w:ascii="Arial" w:hAnsi="Arial" w:cs="Arial"/>
                <w:b/>
                <w:sz w:val="20"/>
                <w:szCs w:val="20"/>
              </w:rPr>
              <w:t>erm 2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8049F3" w:rsidRPr="003123A5" w:rsidRDefault="008049F3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3A5">
              <w:rPr>
                <w:rFonts w:ascii="Arial" w:hAnsi="Arial" w:cs="Arial"/>
                <w:b/>
                <w:sz w:val="20"/>
                <w:szCs w:val="20"/>
              </w:rPr>
              <w:t>Term 3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049F3" w:rsidRPr="003123A5" w:rsidRDefault="008049F3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3A5">
              <w:rPr>
                <w:rFonts w:ascii="Arial" w:hAnsi="Arial" w:cs="Arial"/>
                <w:b/>
                <w:sz w:val="20"/>
                <w:szCs w:val="20"/>
              </w:rPr>
              <w:t>Term 4</w:t>
            </w:r>
          </w:p>
        </w:tc>
        <w:tc>
          <w:tcPr>
            <w:tcW w:w="4043" w:type="dxa"/>
            <w:shd w:val="clear" w:color="auto" w:fill="D9D9D9" w:themeFill="background1" w:themeFillShade="D9"/>
            <w:vAlign w:val="center"/>
          </w:tcPr>
          <w:p w:rsidR="008049F3" w:rsidRPr="003123A5" w:rsidRDefault="008049F3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23A5">
              <w:rPr>
                <w:rFonts w:ascii="Arial" w:hAnsi="Arial" w:cs="Arial"/>
                <w:b/>
                <w:sz w:val="20"/>
                <w:szCs w:val="20"/>
              </w:rPr>
              <w:t>Term 5</w:t>
            </w:r>
          </w:p>
        </w:tc>
        <w:tc>
          <w:tcPr>
            <w:tcW w:w="3754" w:type="dxa"/>
            <w:shd w:val="clear" w:color="auto" w:fill="D9D9D9" w:themeFill="background1" w:themeFillShade="D9"/>
            <w:vAlign w:val="center"/>
          </w:tcPr>
          <w:p w:rsidR="008049F3" w:rsidRPr="003123A5" w:rsidRDefault="008049F3" w:rsidP="00804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proofErr w:type="gramStart"/>
            <w:r w:rsidRPr="00104B50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 September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– 21st </w:t>
            </w:r>
            <w:r w:rsidRPr="00AA3509">
              <w:rPr>
                <w:rFonts w:ascii="Arial" w:hAnsi="Arial" w:cs="Arial"/>
                <w:sz w:val="14"/>
                <w:szCs w:val="14"/>
              </w:rPr>
              <w:t xml:space="preserve"> October</w:t>
            </w:r>
          </w:p>
        </w:tc>
        <w:tc>
          <w:tcPr>
            <w:tcW w:w="3118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  <w:r w:rsidRPr="00A54D2D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October – 22</w:t>
            </w:r>
            <w:r w:rsidRPr="00A54D2D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sz w:val="14"/>
                <w:szCs w:val="14"/>
              </w:rPr>
              <w:t xml:space="preserve"> December</w:t>
            </w:r>
          </w:p>
        </w:tc>
        <w:tc>
          <w:tcPr>
            <w:tcW w:w="3260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9th January –10</w:t>
            </w:r>
            <w:r w:rsidRPr="00104B50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February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February – 31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March</w:t>
            </w:r>
          </w:p>
        </w:tc>
        <w:tc>
          <w:tcPr>
            <w:tcW w:w="4043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April – 26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</w:tc>
        <w:tc>
          <w:tcPr>
            <w:tcW w:w="3754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Pr="00A7788B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June – 21</w:t>
            </w:r>
            <w:r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>
              <w:rPr>
                <w:rFonts w:ascii="Arial" w:hAnsi="Arial" w:cs="Arial"/>
                <w:sz w:val="14"/>
                <w:szCs w:val="14"/>
              </w:rPr>
              <w:t xml:space="preserve"> July</w:t>
            </w: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Weeks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AA3509">
              <w:rPr>
                <w:rFonts w:ascii="Arial" w:hAnsi="Arial" w:cs="Arial"/>
                <w:sz w:val="14"/>
                <w:szCs w:val="14"/>
              </w:rPr>
              <w:t xml:space="preserve"> Weeks</w:t>
            </w:r>
          </w:p>
        </w:tc>
        <w:tc>
          <w:tcPr>
            <w:tcW w:w="3118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 Weeks</w:t>
            </w:r>
          </w:p>
        </w:tc>
        <w:tc>
          <w:tcPr>
            <w:tcW w:w="3260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 Weeks</w:t>
            </w:r>
          </w:p>
        </w:tc>
        <w:tc>
          <w:tcPr>
            <w:tcW w:w="2835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4043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 Weeks</w:t>
            </w:r>
          </w:p>
        </w:tc>
        <w:tc>
          <w:tcPr>
            <w:tcW w:w="3754" w:type="dxa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 weeks</w:t>
            </w:r>
          </w:p>
        </w:tc>
      </w:tr>
      <w:tr w:rsidR="00E45B6A" w:rsidTr="002874FD">
        <w:trPr>
          <w:trHeight w:hRule="exact" w:val="436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Lessons</w:t>
            </w:r>
          </w:p>
        </w:tc>
        <w:tc>
          <w:tcPr>
            <w:tcW w:w="5953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Mock exams: Y11 and 13 W/B 21st November, 10 weeks in. (9 days)</w:t>
            </w:r>
          </w:p>
        </w:tc>
        <w:tc>
          <w:tcPr>
            <w:tcW w:w="6095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AP1:Y7-10 and 12. W/B Jan 16</w:t>
            </w:r>
            <w:r w:rsidRPr="006606FC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>, 16 weeks in (2 lesson assessment)</w:t>
            </w:r>
          </w:p>
        </w:tc>
        <w:tc>
          <w:tcPr>
            <w:tcW w:w="7797" w:type="dxa"/>
            <w:gridSpan w:val="2"/>
            <w:vAlign w:val="center"/>
          </w:tcPr>
          <w:p w:rsidR="00E45B6A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AP2:Y7-9 W/B June12</w:t>
            </w:r>
            <w:r w:rsidRPr="006606FC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>, 16 weeks from AP1. (2 lesson assessment)</w:t>
            </w:r>
          </w:p>
          <w:p w:rsidR="00E45B6A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Mock exams: Tues 4</w:t>
            </w:r>
            <w:r w:rsidRPr="006606FC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July (provisional depending on external exam dates)</w:t>
            </w:r>
          </w:p>
          <w:p w:rsidR="00E45B6A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DE9D9" w:themeFill="accent6" w:themeFillTint="33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Inset</w:t>
            </w:r>
          </w:p>
        </w:tc>
        <w:tc>
          <w:tcPr>
            <w:tcW w:w="5953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Pr="000E4A53">
              <w:rPr>
                <w:rFonts w:ascii="Arial" w:hAnsi="Arial" w:cs="Arial"/>
                <w:sz w:val="14"/>
                <w:szCs w:val="14"/>
                <w:vertAlign w:val="superscript"/>
              </w:rPr>
              <w:t>S</w:t>
            </w:r>
            <w:r w:rsidRPr="00AA3509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September, 2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>
              <w:rPr>
                <w:rFonts w:ascii="Arial" w:hAnsi="Arial" w:cs="Arial"/>
                <w:sz w:val="14"/>
                <w:szCs w:val="14"/>
              </w:rPr>
              <w:t xml:space="preserve"> September                               23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rd</w:t>
            </w:r>
            <w:r>
              <w:rPr>
                <w:rFonts w:ascii="Arial" w:hAnsi="Arial" w:cs="Arial"/>
                <w:sz w:val="14"/>
                <w:szCs w:val="14"/>
              </w:rPr>
              <w:t xml:space="preserve"> December (School Closed)</w:t>
            </w:r>
          </w:p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>, 5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&amp; 6</w:t>
            </w:r>
            <w:r w:rsidRPr="002F3258">
              <w:rPr>
                <w:rFonts w:ascii="Arial" w:hAnsi="Arial" w:cs="Arial"/>
                <w:sz w:val="14"/>
                <w:szCs w:val="14"/>
                <w:vertAlign w:val="superscript"/>
              </w:rPr>
              <w:t>th</w:t>
            </w:r>
            <w:r>
              <w:rPr>
                <w:rFonts w:ascii="Arial" w:hAnsi="Arial" w:cs="Arial"/>
                <w:sz w:val="14"/>
                <w:szCs w:val="14"/>
              </w:rPr>
              <w:t xml:space="preserve"> January        </w:t>
            </w:r>
          </w:p>
        </w:tc>
        <w:tc>
          <w:tcPr>
            <w:tcW w:w="7797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45B6A" w:rsidTr="002874FD">
        <w:trPr>
          <w:trHeight w:hRule="exact" w:val="278"/>
          <w:jc w:val="center"/>
        </w:trPr>
        <w:tc>
          <w:tcPr>
            <w:tcW w:w="2112" w:type="dxa"/>
            <w:shd w:val="clear" w:color="auto" w:fill="FFFFE5"/>
            <w:vAlign w:val="center"/>
          </w:tcPr>
          <w:p w:rsidR="00E45B6A" w:rsidRPr="008049F3" w:rsidRDefault="00E45B6A" w:rsidP="00E45B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Unit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Title</w:t>
            </w:r>
          </w:p>
        </w:tc>
        <w:tc>
          <w:tcPr>
            <w:tcW w:w="5953" w:type="dxa"/>
            <w:gridSpan w:val="2"/>
            <w:vAlign w:val="center"/>
          </w:tcPr>
          <w:p w:rsidR="00E45B6A" w:rsidRPr="00AA3509" w:rsidRDefault="00E45B6A" w:rsidP="00E45B6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E45B6A" w:rsidRPr="00AA3509" w:rsidRDefault="00E45B6A" w:rsidP="00E45B6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E45B6A" w:rsidRPr="001B429D" w:rsidRDefault="00E45B6A" w:rsidP="00E45B6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C6178" w:rsidTr="005C6178">
        <w:trPr>
          <w:trHeight w:hRule="exact" w:val="3130"/>
          <w:jc w:val="center"/>
        </w:trPr>
        <w:tc>
          <w:tcPr>
            <w:tcW w:w="2112" w:type="dxa"/>
            <w:shd w:val="clear" w:color="auto" w:fill="FFFFE5"/>
            <w:vAlign w:val="center"/>
          </w:tcPr>
          <w:p w:rsidR="005C6178" w:rsidRPr="008049F3" w:rsidRDefault="005C6178" w:rsidP="005C6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Sequence</w:t>
            </w:r>
          </w:p>
        </w:tc>
        <w:tc>
          <w:tcPr>
            <w:tcW w:w="5953" w:type="dxa"/>
            <w:gridSpan w:val="2"/>
            <w:vAlign w:val="center"/>
          </w:tcPr>
          <w:p w:rsidR="005C6178" w:rsidRPr="005C6178" w:rsidRDefault="005C6178" w:rsidP="005C6178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6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Food Nutrition and Health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  <w:t>The Eatwell Guide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Macronutrients – 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Protein, HBV, </w:t>
            </w:r>
            <w:proofErr w:type="gramStart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LBV ,</w:t>
            </w:r>
            <w:proofErr w:type="gramEnd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Carbohydrates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Fats and Oils </w:t>
            </w:r>
            <w:proofErr w:type="gramStart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( Lipids</w:t>
            </w:r>
            <w:proofErr w:type="gramEnd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) , , food sources and functions in the body 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5C6178" w:rsidRPr="005C6178" w:rsidRDefault="005C6178" w:rsidP="005C6178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6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Practical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5C6178">
              <w:rPr>
                <w:rFonts w:cstheme="minorHAnsi"/>
                <w:sz w:val="20"/>
                <w:szCs w:val="20"/>
                <w:highlight w:val="yellow"/>
              </w:rPr>
              <w:t>Smoothies ,</w:t>
            </w:r>
            <w:proofErr w:type="gramEnd"/>
            <w:r w:rsidRPr="005C6178">
              <w:rPr>
                <w:rFonts w:cstheme="minorHAnsi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C6178">
              <w:rPr>
                <w:rFonts w:cstheme="minorHAnsi"/>
                <w:sz w:val="20"/>
                <w:szCs w:val="20"/>
                <w:highlight w:val="yellow"/>
              </w:rPr>
              <w:t>Faijitas</w:t>
            </w:r>
            <w:proofErr w:type="spellEnd"/>
            <w:r w:rsidRPr="005C6178">
              <w:rPr>
                <w:rFonts w:cstheme="minorHAnsi"/>
                <w:sz w:val="20"/>
                <w:szCs w:val="20"/>
                <w:highlight w:val="yellow"/>
              </w:rPr>
              <w:t>,</w:t>
            </w:r>
            <w:r w:rsidRPr="005C6178">
              <w:rPr>
                <w:rFonts w:cstheme="minorHAnsi"/>
                <w:sz w:val="20"/>
                <w:szCs w:val="20"/>
              </w:rPr>
              <w:t xml:space="preserve"> Pasta Bake</w:t>
            </w:r>
          </w:p>
        </w:tc>
        <w:tc>
          <w:tcPr>
            <w:tcW w:w="6095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C00000"/>
                <w:sz w:val="20"/>
                <w:szCs w:val="20"/>
              </w:rPr>
              <w:t>Food Science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</w:rPr>
              <w:t>Functional and chemical properties of food Denaturation and coagulation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C00000"/>
                <w:sz w:val="20"/>
                <w:szCs w:val="20"/>
              </w:rPr>
              <w:t>Food Provenance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</w:rPr>
              <w:t>Food waste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FF0000"/>
                <w:sz w:val="20"/>
                <w:szCs w:val="20"/>
              </w:rPr>
              <w:t>Food Commodities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</w:rPr>
              <w:t>Fish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5C61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C6178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Practical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  <w:highlight w:val="yellow"/>
              </w:rPr>
              <w:t>Filo pastry -</w:t>
            </w:r>
            <w:proofErr w:type="gramStart"/>
            <w:r w:rsidRPr="005C6178">
              <w:rPr>
                <w:rFonts w:ascii="Calibri" w:hAnsi="Calibri" w:cs="Calibri"/>
                <w:sz w:val="20"/>
                <w:szCs w:val="20"/>
                <w:highlight w:val="yellow"/>
              </w:rPr>
              <w:t>Samosa ,</w:t>
            </w:r>
            <w:proofErr w:type="gramEnd"/>
            <w:r w:rsidRPr="005C6178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fish goujons, cheesecake</w:t>
            </w:r>
            <w:r w:rsidRPr="005C617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FF0000"/>
                <w:sz w:val="20"/>
                <w:szCs w:val="20"/>
              </w:rPr>
              <w:t>Food Commodities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</w:rPr>
              <w:t>Potatoes and Vegetables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C6178" w:rsidRPr="005C6178" w:rsidRDefault="005C6178" w:rsidP="005C6178">
            <w:pPr>
              <w:pStyle w:val="Heading2"/>
              <w:outlineLvl w:val="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FF0000"/>
                <w:sz w:val="20"/>
                <w:szCs w:val="20"/>
              </w:rPr>
              <w:t>Skills focus</w:t>
            </w:r>
          </w:p>
          <w:p w:rsidR="005C6178" w:rsidRPr="005C6178" w:rsidRDefault="005C6178" w:rsidP="005C6178">
            <w:pPr>
              <w:pStyle w:val="Heading2"/>
              <w:outlineLvl w:val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Menu planning </w:t>
            </w:r>
          </w:p>
          <w:p w:rsidR="005C6178" w:rsidRPr="005C6178" w:rsidRDefault="005C6178" w:rsidP="005C6178">
            <w:pPr>
              <w:pStyle w:val="Heading2"/>
              <w:outlineLvl w:val="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Time plans 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</w:rPr>
              <w:t xml:space="preserve">Chemical raising agents 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5C6178">
              <w:rPr>
                <w:rFonts w:ascii="Calibri" w:hAnsi="Calibri" w:cs="Calibri"/>
                <w:color w:val="FF0000"/>
                <w:sz w:val="20"/>
                <w:szCs w:val="20"/>
              </w:rPr>
              <w:t>Food Commodities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</w:rPr>
              <w:t>Cereals Oats and Rice</w:t>
            </w:r>
          </w:p>
          <w:p w:rsidR="005C6178" w:rsidRPr="005C6178" w:rsidRDefault="005C6178" w:rsidP="005C6178">
            <w:pPr>
              <w:pStyle w:val="Heading2"/>
              <w:outlineLvl w:val="1"/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</w:pPr>
            <w:r w:rsidRPr="005C6178">
              <w:rPr>
                <w:rFonts w:ascii="Calibri" w:hAnsi="Calibri" w:cs="Calibri"/>
                <w:color w:val="FF0000"/>
                <w:sz w:val="20"/>
                <w:szCs w:val="20"/>
                <w:highlight w:val="yellow"/>
              </w:rPr>
              <w:t>Practical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5C6178">
              <w:rPr>
                <w:rFonts w:ascii="Calibri" w:hAnsi="Calibri" w:cs="Calibri"/>
                <w:sz w:val="20"/>
                <w:szCs w:val="20"/>
                <w:highlight w:val="yellow"/>
              </w:rPr>
              <w:t>ginger biscuits, savoury rice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  <w:r w:rsidRPr="005C6178">
              <w:rPr>
                <w:rFonts w:ascii="Calibri" w:hAnsi="Calibri" w:cs="Calibri"/>
                <w:sz w:val="20"/>
                <w:szCs w:val="20"/>
                <w:highlight w:val="yellow"/>
              </w:rPr>
              <w:t>food evaluations</w:t>
            </w:r>
          </w:p>
          <w:p w:rsidR="005C6178" w:rsidRPr="005C6178" w:rsidRDefault="005C6178" w:rsidP="005C617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67D1" w:rsidTr="005C6178">
        <w:trPr>
          <w:trHeight w:hRule="exact" w:val="5810"/>
          <w:jc w:val="center"/>
        </w:trPr>
        <w:tc>
          <w:tcPr>
            <w:tcW w:w="2112" w:type="dxa"/>
            <w:shd w:val="clear" w:color="auto" w:fill="DBE5F1" w:themeFill="accent1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Key Building Blocks</w:t>
            </w:r>
          </w:p>
        </w:tc>
        <w:tc>
          <w:tcPr>
            <w:tcW w:w="5953" w:type="dxa"/>
            <w:gridSpan w:val="2"/>
            <w:vAlign w:val="center"/>
          </w:tcPr>
          <w:p w:rsidR="005C6178" w:rsidRPr="005C6178" w:rsidRDefault="005C6178" w:rsidP="005C6178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6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Food Nutrition and Health 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Eatwell Guide review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Macronutrients – </w:t>
            </w:r>
            <w:proofErr w:type="gramStart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Protein ,</w:t>
            </w:r>
            <w:proofErr w:type="gramEnd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 Fat , Carbohydrates  , food sources and functions in the body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Importance of vegetables in the body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 xml:space="preserve">Food Commodities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Potatoes and Vegetables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Fish – identification and classification of fish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Cereals Oats and Rice -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 xml:space="preserve">Food safety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Cooking high risk foods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Choice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Food Labels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Traffic light labels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Allergens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Provenance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Food waste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Science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Functional and chemical properties of food Denaturation and coagulation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Skills Focus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Raising agents Chemical raising agents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</w:p>
          <w:p w:rsidR="00B567D1" w:rsidRPr="005C6178" w:rsidRDefault="00B567D1" w:rsidP="00B63E2F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567D1" w:rsidRPr="005C6178" w:rsidRDefault="00B567D1" w:rsidP="00B567D1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 xml:space="preserve">Food safety </w:t>
            </w:r>
          </w:p>
          <w:p w:rsidR="005C6178" w:rsidRPr="005C6178" w:rsidRDefault="005C6178" w:rsidP="005C6178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6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Food Nutrition and Health 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Eatwell Guide review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Macronutrients – </w:t>
            </w:r>
            <w:proofErr w:type="gramStart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Protein ,</w:t>
            </w:r>
            <w:proofErr w:type="gramEnd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 Fat , Carbohydrates  , food sources and functions in the body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Importance of vegetables in the body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 xml:space="preserve">Food Commodities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Potatoes and Vegetables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Fish – identification and classification of fish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Cereals Oats and Rice -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 xml:space="preserve">Food safety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Cooking high risk foods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Choice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Food Labels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Traffic light labels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Allergens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Provenance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Food waste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Science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Functional and chemical properties of food Denaturation and coagulation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Skills Focus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Raising agents Chemical raising agents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</w:p>
          <w:p w:rsidR="00B567D1" w:rsidRPr="005C6178" w:rsidRDefault="00B567D1" w:rsidP="00B567D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C6178" w:rsidRPr="005C6178" w:rsidRDefault="005C6178" w:rsidP="005C6178">
            <w:pPr>
              <w:pStyle w:val="Heading2"/>
              <w:outlineLvl w:val="1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C61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Food Nutrition and Health 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Eatwell Guide review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Macronutrients – </w:t>
            </w:r>
            <w:proofErr w:type="gramStart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Protein ,</w:t>
            </w:r>
            <w:proofErr w:type="gramEnd"/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 xml:space="preserve"> Fat , Carbohydrates  , food sources and functions in the body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Importance of vegetables in the body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 xml:space="preserve">Food Commodities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Potatoes and Vegetables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Fish – identification and classification of fish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Cereals Oats and Rice -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 xml:space="preserve">Food safety 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Cooking high risk foods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Choice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Food Labels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Traffic light labels</w:t>
            </w:r>
          </w:p>
          <w:p w:rsidR="005C6178" w:rsidRPr="005C6178" w:rsidRDefault="005C6178" w:rsidP="005C617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C6178">
              <w:rPr>
                <w:rFonts w:cstheme="minorHAnsi"/>
                <w:color w:val="000000" w:themeColor="text1"/>
                <w:sz w:val="20"/>
                <w:szCs w:val="20"/>
              </w:rPr>
              <w:t>Allergens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Provenance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 xml:space="preserve">Food waste 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Food Science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Functional and chemical properties of food Denaturation and coagulation</w:t>
            </w:r>
          </w:p>
          <w:p w:rsidR="005C6178" w:rsidRPr="005C6178" w:rsidRDefault="005C6178" w:rsidP="005C6178">
            <w:pPr>
              <w:rPr>
                <w:rFonts w:cstheme="minorHAnsi"/>
                <w:color w:val="C00000"/>
                <w:sz w:val="20"/>
                <w:szCs w:val="20"/>
              </w:rPr>
            </w:pPr>
            <w:r w:rsidRPr="005C6178">
              <w:rPr>
                <w:rFonts w:cstheme="minorHAnsi"/>
                <w:color w:val="C00000"/>
                <w:sz w:val="20"/>
                <w:szCs w:val="20"/>
              </w:rPr>
              <w:t>Skills Focus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  <w:r w:rsidRPr="005C6178">
              <w:rPr>
                <w:rFonts w:cstheme="minorHAnsi"/>
                <w:sz w:val="20"/>
                <w:szCs w:val="20"/>
              </w:rPr>
              <w:t>Raising agents Chemical raising agents</w:t>
            </w:r>
          </w:p>
          <w:p w:rsidR="005C6178" w:rsidRPr="005C6178" w:rsidRDefault="005C6178" w:rsidP="005C6178">
            <w:pPr>
              <w:rPr>
                <w:rFonts w:cstheme="minorHAnsi"/>
                <w:sz w:val="20"/>
                <w:szCs w:val="20"/>
              </w:rPr>
            </w:pPr>
          </w:p>
          <w:p w:rsidR="00B567D1" w:rsidRPr="005C6178" w:rsidRDefault="00B567D1" w:rsidP="00B567D1">
            <w:pPr>
              <w:rPr>
                <w:rFonts w:cstheme="minorHAnsi"/>
                <w:color w:val="C00000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844"/>
          <w:jc w:val="center"/>
        </w:trPr>
        <w:tc>
          <w:tcPr>
            <w:tcW w:w="2112" w:type="dxa"/>
            <w:shd w:val="clear" w:color="auto" w:fill="DBE5F1" w:themeFill="accent1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Retrieval Practices</w:t>
            </w:r>
          </w:p>
        </w:tc>
        <w:tc>
          <w:tcPr>
            <w:tcW w:w="5953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Do Now activities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 xml:space="preserve">Knowledge check </w:t>
            </w:r>
            <w:r w:rsidRPr="004B75B0">
              <w:rPr>
                <w:rFonts w:cstheme="minorHAnsi"/>
                <w:sz w:val="20"/>
                <w:szCs w:val="14"/>
              </w:rPr>
              <w:t>quizzes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Interleaved themes</w:t>
            </w:r>
            <w:r w:rsidRPr="004B75B0">
              <w:rPr>
                <w:rFonts w:cstheme="minorHAnsi"/>
                <w:color w:val="C00000"/>
                <w:sz w:val="20"/>
                <w:szCs w:val="14"/>
              </w:rPr>
              <w:t xml:space="preserve"> Practical assessment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Do Now activities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Knowledge check quizzes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Interleaved themes</w:t>
            </w:r>
            <w:r w:rsidRPr="004B75B0">
              <w:rPr>
                <w:rFonts w:cstheme="minorHAnsi"/>
                <w:color w:val="C00000"/>
                <w:sz w:val="20"/>
                <w:szCs w:val="14"/>
              </w:rPr>
              <w:t xml:space="preserve"> Practical assessment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Do Now activities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 xml:space="preserve">Knowledge </w:t>
            </w:r>
            <w:proofErr w:type="gramStart"/>
            <w:r w:rsidRPr="004B75B0">
              <w:rPr>
                <w:rFonts w:cstheme="minorHAnsi"/>
                <w:sz w:val="20"/>
                <w:szCs w:val="14"/>
              </w:rPr>
              <w:t>check  quizzes</w:t>
            </w:r>
            <w:proofErr w:type="gramEnd"/>
          </w:p>
          <w:p w:rsidR="00B567D1" w:rsidRPr="004B75B0" w:rsidRDefault="00B567D1" w:rsidP="00B567D1">
            <w:pPr>
              <w:rPr>
                <w:rFonts w:cstheme="minorHAnsi"/>
                <w:sz w:val="20"/>
                <w:szCs w:val="14"/>
              </w:rPr>
            </w:pPr>
            <w:r w:rsidRPr="004B75B0">
              <w:rPr>
                <w:rFonts w:cstheme="minorHAnsi"/>
                <w:sz w:val="20"/>
                <w:szCs w:val="14"/>
              </w:rPr>
              <w:t>Interleaved themes</w:t>
            </w:r>
            <w:r w:rsidRPr="004B75B0">
              <w:rPr>
                <w:rFonts w:cstheme="minorHAnsi"/>
                <w:color w:val="C00000"/>
                <w:sz w:val="20"/>
                <w:szCs w:val="14"/>
              </w:rPr>
              <w:t xml:space="preserve"> Practical assessment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5B0" w:rsidTr="002874FD">
        <w:trPr>
          <w:trHeight w:hRule="exact" w:val="4771"/>
          <w:jc w:val="center"/>
        </w:trPr>
        <w:tc>
          <w:tcPr>
            <w:tcW w:w="2112" w:type="dxa"/>
            <w:shd w:val="clear" w:color="auto" w:fill="F2DBDB" w:themeFill="accent2" w:themeFillTint="33"/>
            <w:vAlign w:val="center"/>
          </w:tcPr>
          <w:p w:rsidR="004B75B0" w:rsidRPr="008049F3" w:rsidRDefault="004B75B0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lastRenderedPageBreak/>
              <w:t>Skills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53" w:type="dxa"/>
            <w:gridSpan w:val="2"/>
          </w:tcPr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General practical skills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Knife skills 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Pre</w:t>
            </w:r>
            <w:r w:rsidRPr="004B75B0">
              <w:rPr>
                <w:rFonts w:cstheme="minorHAnsi"/>
                <w:sz w:val="20"/>
                <w:szCs w:val="20"/>
              </w:rPr>
              <w:t>pa</w:t>
            </w:r>
            <w:r w:rsidRPr="004B75B0">
              <w:rPr>
                <w:rFonts w:cstheme="minorHAnsi"/>
                <w:sz w:val="20"/>
                <w:szCs w:val="20"/>
              </w:rPr>
              <w:t>ring vegetables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a peeler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Practical Skills –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Baking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sauce making , dough making ,  shaping , portioning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Health and safety 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Knife Skills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Weighing </w:t>
            </w:r>
          </w:p>
          <w:p w:rsidR="004B75B0" w:rsidRPr="004B75B0" w:rsidRDefault="004B75B0" w:rsidP="00B567D1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Measuring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the hob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the oven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the grill</w:t>
            </w:r>
          </w:p>
          <w:p w:rsidR="005C6178" w:rsidRPr="00023A24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 w:rsidRPr="00023A24">
              <w:rPr>
                <w:rFonts w:ascii="Arial" w:hAnsi="Arial" w:cs="Arial"/>
                <w:sz w:val="12"/>
                <w:szCs w:val="12"/>
              </w:rPr>
              <w:t>Shaping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 w:rsidRPr="00023A24">
              <w:rPr>
                <w:rFonts w:ascii="Arial" w:hAnsi="Arial" w:cs="Arial"/>
                <w:sz w:val="12"/>
                <w:szCs w:val="12"/>
              </w:rPr>
              <w:t>Portioning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Measuring 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Weighing</w:t>
            </w:r>
          </w:p>
          <w:p w:rsidR="004B75B0" w:rsidRPr="004B75B0" w:rsidRDefault="004B75B0" w:rsidP="00B567D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:rsidR="004B75B0" w:rsidRPr="004B75B0" w:rsidRDefault="004B75B0" w:rsidP="00B567D1">
            <w:pPr>
              <w:rPr>
                <w:rFonts w:cstheme="minorHAnsi"/>
                <w:sz w:val="20"/>
                <w:szCs w:val="12"/>
              </w:rPr>
            </w:pPr>
            <w:r w:rsidRPr="004B75B0">
              <w:rPr>
                <w:rFonts w:cstheme="minorHAnsi"/>
                <w:sz w:val="20"/>
                <w:szCs w:val="12"/>
              </w:rPr>
              <w:t xml:space="preserve">Cooking Skills 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12"/>
              </w:rPr>
            </w:pPr>
            <w:r w:rsidRPr="004B75B0">
              <w:rPr>
                <w:rFonts w:cstheme="minorHAnsi"/>
                <w:sz w:val="20"/>
                <w:szCs w:val="12"/>
              </w:rPr>
              <w:t xml:space="preserve">Baking 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Preparing fruit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the hob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the oven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the grill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Using a peeler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Practical Skills –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Baking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sauce making , dough making ,  shaping , portioning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Health and safety 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Knife Skills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Weighing </w:t>
            </w:r>
          </w:p>
          <w:p w:rsidR="004B75B0" w:rsidRPr="004B75B0" w:rsidRDefault="004B75B0" w:rsidP="004B75B0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Measuring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023A24">
              <w:rPr>
                <w:rFonts w:ascii="Arial" w:hAnsi="Arial" w:cs="Arial"/>
                <w:sz w:val="12"/>
                <w:szCs w:val="12"/>
              </w:rPr>
              <w:t>Saucemaking</w:t>
            </w:r>
            <w:proofErr w:type="spellEnd"/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Shallow frying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Boiling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Simmering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Presenting food attractively 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Weighing and measuring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Chopping and slicing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Shaping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Peeling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Whisking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Melting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Rubbing in method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Sieving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Segmenting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Hydrating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Blending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Deboning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Portioning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Filleting</w:t>
            </w:r>
          </w:p>
          <w:p w:rsidR="004B75B0" w:rsidRPr="004B75B0" w:rsidRDefault="004B75B0" w:rsidP="00B567D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Following good hygiene and good safety practice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the hob</w:t>
            </w:r>
          </w:p>
          <w:p w:rsidR="005C6178" w:rsidRPr="00B23C26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the oven</w:t>
            </w:r>
          </w:p>
          <w:p w:rsidR="005C6178" w:rsidRDefault="005C6178" w:rsidP="005C6178">
            <w:pPr>
              <w:rPr>
                <w:rFonts w:ascii="Arial" w:hAnsi="Arial" w:cs="Arial"/>
                <w:color w:val="7030A0"/>
                <w:sz w:val="12"/>
                <w:szCs w:val="12"/>
              </w:rPr>
            </w:pPr>
            <w:r>
              <w:rPr>
                <w:rFonts w:ascii="Arial" w:hAnsi="Arial" w:cs="Arial"/>
                <w:color w:val="7030A0"/>
                <w:sz w:val="12"/>
                <w:szCs w:val="12"/>
              </w:rPr>
              <w:t>Knife skills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Whisking</w:t>
            </w:r>
          </w:p>
          <w:p w:rsidR="005C6178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Sauce making </w:t>
            </w:r>
          </w:p>
          <w:p w:rsidR="005C6178" w:rsidRPr="00023A24" w:rsidRDefault="005C6178" w:rsidP="005C617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Dough Making</w:t>
            </w:r>
          </w:p>
          <w:p w:rsidR="004B75B0" w:rsidRPr="004B75B0" w:rsidRDefault="004B75B0" w:rsidP="00B56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726"/>
          <w:jc w:val="center"/>
        </w:trPr>
        <w:tc>
          <w:tcPr>
            <w:tcW w:w="2112" w:type="dxa"/>
            <w:shd w:val="clear" w:color="auto" w:fill="F2DBDB" w:themeFill="accent2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Literacy</w:t>
            </w:r>
          </w:p>
        </w:tc>
        <w:tc>
          <w:tcPr>
            <w:tcW w:w="5953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Written &amp; Oral communication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Vocab development</w:t>
            </w:r>
          </w:p>
        </w:tc>
        <w:tc>
          <w:tcPr>
            <w:tcW w:w="6095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Written &amp; Oral communication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Vocab development</w:t>
            </w:r>
          </w:p>
        </w:tc>
        <w:tc>
          <w:tcPr>
            <w:tcW w:w="7797" w:type="dxa"/>
            <w:gridSpan w:val="2"/>
            <w:vAlign w:val="center"/>
          </w:tcPr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Written &amp; Oral communication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Vocab development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823"/>
          <w:jc w:val="center"/>
        </w:trPr>
        <w:tc>
          <w:tcPr>
            <w:tcW w:w="2112" w:type="dxa"/>
            <w:shd w:val="clear" w:color="auto" w:fill="F2DBDB" w:themeFill="accent2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Numeracy</w:t>
            </w:r>
          </w:p>
        </w:tc>
        <w:tc>
          <w:tcPr>
            <w:tcW w:w="5953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Measuring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weighing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Time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Planning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Ratio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Multiplication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Division , Costing </w:t>
            </w: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Measuring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weighing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Time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Planning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Ratio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Multiplication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Division , Costing 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Measuring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weighing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Time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Planning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Ratio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Multiplication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Division , Costing </w:t>
            </w:r>
          </w:p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</w:p>
          <w:p w:rsidR="00B567D1" w:rsidRPr="004B75B0" w:rsidRDefault="00B567D1" w:rsidP="00B567D1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B567D1" w:rsidTr="002874FD">
        <w:trPr>
          <w:trHeight w:hRule="exact" w:val="723"/>
          <w:jc w:val="center"/>
        </w:trPr>
        <w:tc>
          <w:tcPr>
            <w:tcW w:w="2112" w:type="dxa"/>
            <w:shd w:val="clear" w:color="auto" w:fill="EAF1DD" w:themeFill="accent3" w:themeFillTint="33"/>
            <w:vAlign w:val="center"/>
          </w:tcPr>
          <w:p w:rsidR="00B567D1" w:rsidRPr="008049F3" w:rsidRDefault="00B567D1" w:rsidP="00B567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Formative Assessment</w:t>
            </w:r>
          </w:p>
        </w:tc>
        <w:tc>
          <w:tcPr>
            <w:tcW w:w="5953" w:type="dxa"/>
            <w:gridSpan w:val="2"/>
            <w:vAlign w:val="center"/>
          </w:tcPr>
          <w:p w:rsidR="00B567D1" w:rsidRPr="00B55885" w:rsidRDefault="004B75B0" w:rsidP="00B56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class Feedback</w:t>
            </w:r>
          </w:p>
          <w:p w:rsidR="00B567D1" w:rsidRDefault="00B567D1" w:rsidP="00B567D1">
            <w:pPr>
              <w:rPr>
                <w:rFonts w:cstheme="minorHAnsi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Teacher feedback</w:t>
            </w:r>
          </w:p>
          <w:p w:rsidR="00B567D1" w:rsidRDefault="00B567D1" w:rsidP="00B567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Student </w:t>
            </w:r>
            <w:r w:rsidR="004B75B0">
              <w:rPr>
                <w:rFonts w:cstheme="minorHAnsi"/>
                <w:sz w:val="20"/>
                <w:szCs w:val="20"/>
              </w:rPr>
              <w:t>Book</w:t>
            </w:r>
          </w:p>
          <w:p w:rsidR="004B75B0" w:rsidRPr="00B55885" w:rsidRDefault="004B75B0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4B75B0" w:rsidRPr="00B55885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class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Teacher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Book</w:t>
            </w:r>
          </w:p>
          <w:p w:rsidR="00B567D1" w:rsidRPr="00B55885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4B75B0" w:rsidRPr="00B55885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Whole class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Teacher feedback</w:t>
            </w:r>
          </w:p>
          <w:p w:rsid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Book</w:t>
            </w:r>
          </w:p>
          <w:p w:rsidR="00B567D1" w:rsidRPr="00B55885" w:rsidRDefault="00B567D1" w:rsidP="00B567D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75B0" w:rsidTr="002874FD">
        <w:trPr>
          <w:trHeight w:hRule="exact" w:val="566"/>
          <w:jc w:val="center"/>
        </w:trPr>
        <w:tc>
          <w:tcPr>
            <w:tcW w:w="2112" w:type="dxa"/>
            <w:shd w:val="clear" w:color="auto" w:fill="EAF1DD" w:themeFill="accent3" w:themeFillTint="33"/>
            <w:vAlign w:val="center"/>
          </w:tcPr>
          <w:p w:rsidR="004B75B0" w:rsidRPr="008049F3" w:rsidRDefault="004B75B0" w:rsidP="004B75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49F3">
              <w:rPr>
                <w:rFonts w:ascii="Arial" w:hAnsi="Arial" w:cs="Arial"/>
                <w:b/>
                <w:sz w:val="16"/>
                <w:szCs w:val="16"/>
              </w:rPr>
              <w:t>Summative Assessment</w:t>
            </w:r>
          </w:p>
        </w:tc>
        <w:tc>
          <w:tcPr>
            <w:tcW w:w="5953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4B75B0">
              <w:rPr>
                <w:rFonts w:cstheme="minorHAnsi"/>
                <w:sz w:val="20"/>
                <w:szCs w:val="20"/>
              </w:rPr>
              <w:t>Baseline  Assessment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 xml:space="preserve">AP1 Exam </w:t>
            </w:r>
            <w:proofErr w:type="gramStart"/>
            <w:r w:rsidRPr="004B75B0">
              <w:rPr>
                <w:rFonts w:cstheme="minorHAnsi"/>
                <w:sz w:val="20"/>
                <w:szCs w:val="20"/>
              </w:rPr>
              <w:t>Paper ,</w:t>
            </w:r>
            <w:proofErr w:type="gramEnd"/>
            <w:r w:rsidRPr="004B75B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2"/>
            <w:vAlign w:val="center"/>
          </w:tcPr>
          <w:p w:rsidR="004B75B0" w:rsidRPr="004B75B0" w:rsidRDefault="004B75B0" w:rsidP="004B75B0">
            <w:pPr>
              <w:rPr>
                <w:rFonts w:cstheme="minorHAnsi"/>
                <w:sz w:val="20"/>
                <w:szCs w:val="20"/>
              </w:rPr>
            </w:pPr>
            <w:r w:rsidRPr="004B75B0">
              <w:rPr>
                <w:rFonts w:cstheme="minorHAnsi"/>
                <w:sz w:val="20"/>
                <w:szCs w:val="20"/>
              </w:rPr>
              <w:t>AP2. paper and practical</w:t>
            </w:r>
          </w:p>
        </w:tc>
      </w:tr>
      <w:tr w:rsidR="005C6178" w:rsidTr="005C6178">
        <w:trPr>
          <w:trHeight w:hRule="exact" w:val="2153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5C6178" w:rsidRPr="008049F3" w:rsidRDefault="005C6178" w:rsidP="005C617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Social</w:t>
            </w:r>
          </w:p>
        </w:tc>
        <w:tc>
          <w:tcPr>
            <w:tcW w:w="5953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Students work together to develop tea working skills, problem solving skills. Students share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ideas .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. Pupils are encouraged to research and explore different factors relating to how a person's culinary influences effect food choices such as finance, religion, traditions and exposure habits. A range of scenarios encourage pupils to explore a range of multi-cultural foods. Projects allow for group work both within and out of school to enhance and develop social skills along with appropriate knowledge required for the course</w:t>
            </w:r>
          </w:p>
        </w:tc>
        <w:tc>
          <w:tcPr>
            <w:tcW w:w="6095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Students work together to develop tea working skills, problem solving skills. Students share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ideas .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. Pupils are encouraged to research and explore different factors relating to how a person's culinary influences effect food choices such as finance, religion, traditions and exposure habits. A range of scenarios en</w:t>
            </w:r>
            <w:bookmarkStart w:id="0" w:name="_GoBack"/>
            <w:bookmarkEnd w:id="0"/>
            <w:r w:rsidRPr="005C6178">
              <w:rPr>
                <w:rFonts w:cstheme="minorHAnsi"/>
                <w:color w:val="7030A0"/>
                <w:sz w:val="20"/>
                <w:szCs w:val="20"/>
              </w:rPr>
              <w:t>courage pupils to explore a range of multi-cultural foods. Projects allow for group work both within and out of school to enhance and develop social skills along with appropriate knowledge required for the course</w:t>
            </w:r>
          </w:p>
        </w:tc>
        <w:tc>
          <w:tcPr>
            <w:tcW w:w="7797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Students work together to develop tea working skills, problem solving skills. Students share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ideas .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. Pupils are encouraged to research and explore different factors relating to how a person's culinary influences effect food choices such as finance, religion, traditions and exposure habits. A range of scenarios encourage pupils to explore a range of multi-cultural foods. Projects allow for group work both within and out of school to enhance and develop social skills along with appropriate knowledge required for the course</w:t>
            </w:r>
          </w:p>
        </w:tc>
      </w:tr>
      <w:tr w:rsidR="005C6178" w:rsidTr="005C6178">
        <w:trPr>
          <w:trHeight w:hRule="exact" w:val="1290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5C6178" w:rsidRPr="0017138C" w:rsidRDefault="005C6178" w:rsidP="005C6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Moral</w:t>
            </w:r>
          </w:p>
        </w:tc>
        <w:tc>
          <w:tcPr>
            <w:tcW w:w="5953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Food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miles ,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carbon foot print 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Factors affecting food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choices,.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Pupils are encouraged to explore different uses for food waste. Pupils are actively encouraged to research and explore culinary habits and traditions and how we have become more multi-cultural.</w:t>
            </w:r>
          </w:p>
        </w:tc>
        <w:tc>
          <w:tcPr>
            <w:tcW w:w="6095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Food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miles ,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carbon foot print 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Factors affecting food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choices,.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Pupils are encouraged to explore different uses for food waste. Pupils are actively encouraged to research and explore culinary habits and traditions and how we have become more multi-cultural.</w:t>
            </w:r>
          </w:p>
        </w:tc>
        <w:tc>
          <w:tcPr>
            <w:tcW w:w="7797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Food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miles ,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carbon foot print 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Factors affecting food </w:t>
            </w:r>
            <w:proofErr w:type="gramStart"/>
            <w:r w:rsidRPr="005C6178">
              <w:rPr>
                <w:rFonts w:cstheme="minorHAnsi"/>
                <w:color w:val="7030A0"/>
                <w:sz w:val="20"/>
                <w:szCs w:val="20"/>
              </w:rPr>
              <w:t>choices,.</w:t>
            </w:r>
            <w:proofErr w:type="gram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Pupils are encouraged to explore different uses for food waste. Pupils are actively encouraged to research and explore culinary habits and traditions and how we have become more multi-cultural.</w:t>
            </w:r>
          </w:p>
        </w:tc>
      </w:tr>
      <w:tr w:rsidR="005C6178" w:rsidTr="005C6178">
        <w:trPr>
          <w:trHeight w:hRule="exact" w:val="558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5C6178" w:rsidRPr="0017138C" w:rsidRDefault="005C6178" w:rsidP="005C6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Spiritual</w:t>
            </w:r>
          </w:p>
        </w:tc>
        <w:tc>
          <w:tcPr>
            <w:tcW w:w="5953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Celebrations in different countries</w:t>
            </w:r>
          </w:p>
        </w:tc>
        <w:tc>
          <w:tcPr>
            <w:tcW w:w="6095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Celebrations in different countries</w:t>
            </w:r>
          </w:p>
        </w:tc>
        <w:tc>
          <w:tcPr>
            <w:tcW w:w="7797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Celebrations in different countries</w:t>
            </w:r>
          </w:p>
        </w:tc>
      </w:tr>
      <w:tr w:rsidR="005C6178" w:rsidTr="002874FD">
        <w:trPr>
          <w:trHeight w:hRule="exact" w:val="1690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5C6178" w:rsidRPr="0017138C" w:rsidRDefault="005C6178" w:rsidP="005C6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Cultural</w:t>
            </w:r>
          </w:p>
        </w:tc>
        <w:tc>
          <w:tcPr>
            <w:tcW w:w="5953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</w:tr>
      <w:tr w:rsidR="005C6178" w:rsidTr="002874FD">
        <w:trPr>
          <w:trHeight w:hRule="exact" w:val="1966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5C6178" w:rsidRPr="0017138C" w:rsidRDefault="005C6178" w:rsidP="005C617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7138C">
              <w:rPr>
                <w:rFonts w:ascii="Arial" w:hAnsi="Arial" w:cs="Arial"/>
                <w:b/>
                <w:sz w:val="16"/>
                <w:szCs w:val="16"/>
              </w:rPr>
              <w:t>British Values</w:t>
            </w:r>
          </w:p>
        </w:tc>
        <w:tc>
          <w:tcPr>
            <w:tcW w:w="5953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The Rule of law - Food labelling regulations covering allergens in ingredients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Tolerance and respect for others when working in teams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Respect and tolerance for different faiths and religions when considering religious factors that </w:t>
            </w:r>
            <w:proofErr w:type="spellStart"/>
            <w:r w:rsidRPr="005C6178">
              <w:rPr>
                <w:rFonts w:cstheme="minorHAnsi"/>
                <w:color w:val="7030A0"/>
                <w:sz w:val="20"/>
                <w:szCs w:val="20"/>
              </w:rPr>
              <w:t>effect</w:t>
            </w:r>
            <w:proofErr w:type="spell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food choices and cooking methods.</w:t>
            </w:r>
          </w:p>
        </w:tc>
        <w:tc>
          <w:tcPr>
            <w:tcW w:w="6095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The Rule of law - Food labelling regulations covering allergens in ingredients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Tolerance and respect for others when working in teams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Respect and tolerance for different faiths and religions when considering religious factors that </w:t>
            </w:r>
            <w:proofErr w:type="spellStart"/>
            <w:r w:rsidRPr="005C6178">
              <w:rPr>
                <w:rFonts w:cstheme="minorHAnsi"/>
                <w:color w:val="7030A0"/>
                <w:sz w:val="20"/>
                <w:szCs w:val="20"/>
              </w:rPr>
              <w:t>effect</w:t>
            </w:r>
            <w:proofErr w:type="spell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food choices and cooking methods.</w:t>
            </w:r>
          </w:p>
        </w:tc>
        <w:tc>
          <w:tcPr>
            <w:tcW w:w="7797" w:type="dxa"/>
            <w:gridSpan w:val="2"/>
            <w:vAlign w:val="center"/>
          </w:tcPr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The Rule of law - Food labelling regulations covering allergens in ingredients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>Tolerance and respect for others when working in teams</w:t>
            </w:r>
          </w:p>
          <w:p w:rsidR="005C6178" w:rsidRPr="005C6178" w:rsidRDefault="005C6178" w:rsidP="005C6178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Respect and tolerance for different faiths and religions when considering religious factors that </w:t>
            </w:r>
            <w:proofErr w:type="spellStart"/>
            <w:r w:rsidRPr="005C6178">
              <w:rPr>
                <w:rFonts w:cstheme="minorHAnsi"/>
                <w:color w:val="7030A0"/>
                <w:sz w:val="20"/>
                <w:szCs w:val="20"/>
              </w:rPr>
              <w:t>effect</w:t>
            </w:r>
            <w:proofErr w:type="spellEnd"/>
            <w:r w:rsidRPr="005C6178">
              <w:rPr>
                <w:rFonts w:cstheme="minorHAnsi"/>
                <w:color w:val="7030A0"/>
                <w:sz w:val="20"/>
                <w:szCs w:val="20"/>
              </w:rPr>
              <w:t xml:space="preserve"> food choices and cooking methods.</w:t>
            </w:r>
          </w:p>
        </w:tc>
      </w:tr>
      <w:tr w:rsidR="00A55E85" w:rsidTr="004D0297">
        <w:trPr>
          <w:trHeight w:hRule="exact" w:val="848"/>
          <w:jc w:val="center"/>
        </w:trPr>
        <w:tc>
          <w:tcPr>
            <w:tcW w:w="2112" w:type="dxa"/>
            <w:shd w:val="clear" w:color="auto" w:fill="E5DFEC" w:themeFill="accent4" w:themeFillTint="33"/>
            <w:vAlign w:val="center"/>
          </w:tcPr>
          <w:p w:rsidR="00A55E85" w:rsidRDefault="00A55E85" w:rsidP="00A55E8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Gatsby Benchmark 4 Linking curriculum to careers</w:t>
            </w:r>
          </w:p>
        </w:tc>
        <w:tc>
          <w:tcPr>
            <w:tcW w:w="19845" w:type="dxa"/>
            <w:gridSpan w:val="6"/>
            <w:vAlign w:val="center"/>
          </w:tcPr>
          <w:p w:rsidR="00A55E85" w:rsidRPr="00B55885" w:rsidRDefault="00A55E85" w:rsidP="00A55E85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B55885">
              <w:rPr>
                <w:rFonts w:cstheme="minorHAnsi"/>
                <w:sz w:val="20"/>
                <w:szCs w:val="20"/>
              </w:rPr>
              <w:t>Careers in Food industry: Working as a team, working to deadlines, sharing ideas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F91B40" w:rsidRPr="00CA1424" w:rsidRDefault="00F91B40">
      <w:pPr>
        <w:rPr>
          <w:sz w:val="2"/>
          <w:szCs w:val="2"/>
        </w:rPr>
      </w:pPr>
    </w:p>
    <w:sectPr w:rsidR="00F91B40" w:rsidRPr="00CA1424" w:rsidSect="0071383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2383B"/>
    <w:multiLevelType w:val="hybridMultilevel"/>
    <w:tmpl w:val="E7BE1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1274D"/>
    <w:multiLevelType w:val="hybridMultilevel"/>
    <w:tmpl w:val="DE70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B4893"/>
    <w:multiLevelType w:val="hybridMultilevel"/>
    <w:tmpl w:val="FD10E6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B7217"/>
    <w:multiLevelType w:val="hybridMultilevel"/>
    <w:tmpl w:val="6CBA8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2223B"/>
    <w:rsid w:val="00035BFC"/>
    <w:rsid w:val="00051521"/>
    <w:rsid w:val="000E4A53"/>
    <w:rsid w:val="000F48A0"/>
    <w:rsid w:val="00104B50"/>
    <w:rsid w:val="0012541D"/>
    <w:rsid w:val="0017138C"/>
    <w:rsid w:val="001B429D"/>
    <w:rsid w:val="001D6B38"/>
    <w:rsid w:val="00222295"/>
    <w:rsid w:val="002223E7"/>
    <w:rsid w:val="00243919"/>
    <w:rsid w:val="002521A2"/>
    <w:rsid w:val="0028438D"/>
    <w:rsid w:val="002874FD"/>
    <w:rsid w:val="002D64DC"/>
    <w:rsid w:val="002E7F2C"/>
    <w:rsid w:val="002F6A82"/>
    <w:rsid w:val="003123A5"/>
    <w:rsid w:val="00313819"/>
    <w:rsid w:val="00321044"/>
    <w:rsid w:val="00330C15"/>
    <w:rsid w:val="0035518C"/>
    <w:rsid w:val="00390038"/>
    <w:rsid w:val="003B7D8F"/>
    <w:rsid w:val="003C5624"/>
    <w:rsid w:val="00405DD0"/>
    <w:rsid w:val="00413B06"/>
    <w:rsid w:val="004172AF"/>
    <w:rsid w:val="00427391"/>
    <w:rsid w:val="00450125"/>
    <w:rsid w:val="00485140"/>
    <w:rsid w:val="0048522A"/>
    <w:rsid w:val="00494685"/>
    <w:rsid w:val="004B75B0"/>
    <w:rsid w:val="004D0297"/>
    <w:rsid w:val="004F3FFE"/>
    <w:rsid w:val="00587DF7"/>
    <w:rsid w:val="0059102A"/>
    <w:rsid w:val="00591344"/>
    <w:rsid w:val="005A5C37"/>
    <w:rsid w:val="005B431E"/>
    <w:rsid w:val="005C6178"/>
    <w:rsid w:val="00603021"/>
    <w:rsid w:val="0061312F"/>
    <w:rsid w:val="00692E98"/>
    <w:rsid w:val="006B12AA"/>
    <w:rsid w:val="006E143F"/>
    <w:rsid w:val="006E6EBB"/>
    <w:rsid w:val="00707108"/>
    <w:rsid w:val="00713830"/>
    <w:rsid w:val="00725171"/>
    <w:rsid w:val="007532D2"/>
    <w:rsid w:val="00760940"/>
    <w:rsid w:val="007A28BD"/>
    <w:rsid w:val="007E3A42"/>
    <w:rsid w:val="007F3DF6"/>
    <w:rsid w:val="008049F3"/>
    <w:rsid w:val="008A0354"/>
    <w:rsid w:val="008A7697"/>
    <w:rsid w:val="008D528A"/>
    <w:rsid w:val="008D5557"/>
    <w:rsid w:val="00924D92"/>
    <w:rsid w:val="00965BB0"/>
    <w:rsid w:val="00976CE7"/>
    <w:rsid w:val="0098041B"/>
    <w:rsid w:val="009A1A35"/>
    <w:rsid w:val="009C56F1"/>
    <w:rsid w:val="009C5B6A"/>
    <w:rsid w:val="009E68C4"/>
    <w:rsid w:val="00A55E85"/>
    <w:rsid w:val="00A63F86"/>
    <w:rsid w:val="00A7032A"/>
    <w:rsid w:val="00A74C2F"/>
    <w:rsid w:val="00A7788B"/>
    <w:rsid w:val="00AA3509"/>
    <w:rsid w:val="00AD05ED"/>
    <w:rsid w:val="00AD1190"/>
    <w:rsid w:val="00AD7559"/>
    <w:rsid w:val="00B14640"/>
    <w:rsid w:val="00B50176"/>
    <w:rsid w:val="00B55885"/>
    <w:rsid w:val="00B567D1"/>
    <w:rsid w:val="00B63E2F"/>
    <w:rsid w:val="00B91832"/>
    <w:rsid w:val="00BA074C"/>
    <w:rsid w:val="00C20427"/>
    <w:rsid w:val="00C707E4"/>
    <w:rsid w:val="00C87F9E"/>
    <w:rsid w:val="00CA1424"/>
    <w:rsid w:val="00CB7282"/>
    <w:rsid w:val="00D35A6D"/>
    <w:rsid w:val="00D65C9F"/>
    <w:rsid w:val="00D74117"/>
    <w:rsid w:val="00D7635C"/>
    <w:rsid w:val="00DB1507"/>
    <w:rsid w:val="00E45B6A"/>
    <w:rsid w:val="00E50F24"/>
    <w:rsid w:val="00E65ED7"/>
    <w:rsid w:val="00E86C54"/>
    <w:rsid w:val="00E86F17"/>
    <w:rsid w:val="00EF0195"/>
    <w:rsid w:val="00EF6305"/>
    <w:rsid w:val="00F14EE6"/>
    <w:rsid w:val="00F33802"/>
    <w:rsid w:val="00F603C5"/>
    <w:rsid w:val="00F91B40"/>
    <w:rsid w:val="00F95145"/>
    <w:rsid w:val="00FA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CCF8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7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7F2C"/>
    <w:pPr>
      <w:ind w:left="720"/>
      <w:contextualSpacing/>
    </w:pPr>
  </w:style>
  <w:style w:type="paragraph" w:styleId="NoSpacing">
    <w:name w:val="No Spacing"/>
    <w:uiPriority w:val="1"/>
    <w:qFormat/>
    <w:rsid w:val="00C707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567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D9A9C-CA1D-4454-9C13-B42505E5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Boyd,Joanne</dc:creator>
  <cp:keywords/>
  <dc:description/>
  <cp:lastModifiedBy>Boyd,Joanne</cp:lastModifiedBy>
  <cp:revision>3</cp:revision>
  <cp:lastPrinted>2022-07-12T16:07:00Z</cp:lastPrinted>
  <dcterms:created xsi:type="dcterms:W3CDTF">2022-09-29T13:27:00Z</dcterms:created>
  <dcterms:modified xsi:type="dcterms:W3CDTF">2022-09-29T13:33:00Z</dcterms:modified>
</cp:coreProperties>
</file>