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CF5A" w14:textId="77777777" w:rsidR="004172AF" w:rsidRPr="00692E98" w:rsidRDefault="00B37385" w:rsidP="00E50F2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58274B">
        <w:rPr>
          <w:rFonts w:ascii="Arial" w:hAnsi="Arial" w:cs="Arial"/>
          <w:b/>
          <w:sz w:val="28"/>
          <w:szCs w:val="28"/>
        </w:rPr>
        <w:t>8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panish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8049F3" w:rsidRPr="00692E98">
        <w:rPr>
          <w:rFonts w:ascii="Arial" w:hAnsi="Arial" w:cs="Arial"/>
          <w:b/>
          <w:sz w:val="28"/>
          <w:szCs w:val="28"/>
        </w:rPr>
        <w:t xml:space="preserve">Curriculum </w:t>
      </w:r>
      <w:r w:rsidR="00F91B40" w:rsidRPr="00692E98">
        <w:rPr>
          <w:rFonts w:ascii="Arial" w:hAnsi="Arial" w:cs="Arial"/>
          <w:b/>
          <w:sz w:val="28"/>
          <w:szCs w:val="28"/>
        </w:rPr>
        <w:t>Progression Map</w:t>
      </w:r>
    </w:p>
    <w:p w14:paraId="69F16963" w14:textId="77777777"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848"/>
        <w:gridCol w:w="4848"/>
        <w:gridCol w:w="4848"/>
      </w:tblGrid>
      <w:tr w:rsidR="0009222C" w14:paraId="5D382E35" w14:textId="77777777" w:rsidTr="0009222C">
        <w:trPr>
          <w:trHeight w:hRule="exact" w:val="340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D64F5EB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553B3B58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5C608C4A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7EF2CD3E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3</w:t>
            </w:r>
          </w:p>
        </w:tc>
      </w:tr>
      <w:tr w:rsidR="00D76EB4" w14:paraId="3F5F8364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4F517CD3" w14:textId="77777777" w:rsidR="00D76EB4" w:rsidRPr="008049F3" w:rsidRDefault="00D76EB4" w:rsidP="00D76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4848" w:type="dxa"/>
            <w:vAlign w:val="center"/>
          </w:tcPr>
          <w:p w14:paraId="042E7A3B" w14:textId="6E447FF0" w:rsidR="00D76EB4" w:rsidRPr="00AA3509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September – December</w:t>
            </w:r>
          </w:p>
        </w:tc>
        <w:tc>
          <w:tcPr>
            <w:tcW w:w="4848" w:type="dxa"/>
            <w:vAlign w:val="center"/>
          </w:tcPr>
          <w:p w14:paraId="0613D92B" w14:textId="2698E5F9" w:rsidR="00D76EB4" w:rsidRPr="00AA3509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January – March</w:t>
            </w:r>
          </w:p>
        </w:tc>
        <w:tc>
          <w:tcPr>
            <w:tcW w:w="4848" w:type="dxa"/>
            <w:vAlign w:val="center"/>
          </w:tcPr>
          <w:p w14:paraId="427EEEC8" w14:textId="73FB9A35" w:rsidR="00D76EB4" w:rsidRPr="00AA3509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April - July</w:t>
            </w:r>
          </w:p>
        </w:tc>
      </w:tr>
      <w:tr w:rsidR="00D76EB4" w14:paraId="599AA6F9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4E406347" w14:textId="77777777" w:rsidR="00D76EB4" w:rsidRPr="008049F3" w:rsidRDefault="00D76EB4" w:rsidP="00D76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4848" w:type="dxa"/>
            <w:vAlign w:val="center"/>
          </w:tcPr>
          <w:p w14:paraId="172D6D5E" w14:textId="437EBF88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14 weeks</w:t>
            </w:r>
          </w:p>
        </w:tc>
        <w:tc>
          <w:tcPr>
            <w:tcW w:w="4848" w:type="dxa"/>
            <w:vAlign w:val="center"/>
          </w:tcPr>
          <w:p w14:paraId="44C96911" w14:textId="76F04E60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11 weeks</w:t>
            </w:r>
          </w:p>
        </w:tc>
        <w:tc>
          <w:tcPr>
            <w:tcW w:w="4848" w:type="dxa"/>
            <w:vAlign w:val="center"/>
          </w:tcPr>
          <w:p w14:paraId="7DD09AAC" w14:textId="01F551A8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13 weeks</w:t>
            </w:r>
          </w:p>
        </w:tc>
      </w:tr>
      <w:tr w:rsidR="00D76EB4" w14:paraId="5DBC4555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1D04875C" w14:textId="77777777" w:rsidR="00D76EB4" w:rsidRPr="008049F3" w:rsidRDefault="00D76EB4" w:rsidP="00D76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4848" w:type="dxa"/>
            <w:vAlign w:val="center"/>
          </w:tcPr>
          <w:p w14:paraId="51C99349" w14:textId="2BA09082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21 lessons</w:t>
            </w:r>
          </w:p>
        </w:tc>
        <w:tc>
          <w:tcPr>
            <w:tcW w:w="4848" w:type="dxa"/>
            <w:vAlign w:val="center"/>
          </w:tcPr>
          <w:p w14:paraId="3D244092" w14:textId="7A5516CE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15 lessons</w:t>
            </w:r>
          </w:p>
        </w:tc>
        <w:tc>
          <w:tcPr>
            <w:tcW w:w="4848" w:type="dxa"/>
            <w:vAlign w:val="center"/>
          </w:tcPr>
          <w:p w14:paraId="32CDEDD7" w14:textId="462FEE47" w:rsidR="00D76EB4" w:rsidRPr="00C80288" w:rsidRDefault="00D76EB4" w:rsidP="00D76E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20 lessons</w:t>
            </w:r>
          </w:p>
        </w:tc>
      </w:tr>
      <w:tr w:rsidR="0009222C" w14:paraId="7E8F746D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1ABCB954" w14:textId="77777777" w:rsidR="0009222C" w:rsidRPr="008049F3" w:rsidRDefault="0009222C" w:rsidP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4848" w:type="dxa"/>
            <w:vAlign w:val="center"/>
          </w:tcPr>
          <w:p w14:paraId="551E9120" w14:textId="37D4F38F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vAlign w:val="center"/>
          </w:tcPr>
          <w:p w14:paraId="10B248A7" w14:textId="7F907FA6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vAlign w:val="center"/>
          </w:tcPr>
          <w:p w14:paraId="2299E1D9" w14:textId="657E072D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222C" w14:paraId="72241BEF" w14:textId="77777777" w:rsidTr="0009222C">
        <w:trPr>
          <w:trHeight w:hRule="exact" w:val="227"/>
        </w:trPr>
        <w:tc>
          <w:tcPr>
            <w:tcW w:w="1191" w:type="dxa"/>
            <w:shd w:val="clear" w:color="auto" w:fill="FFFFE5"/>
            <w:vAlign w:val="center"/>
          </w:tcPr>
          <w:p w14:paraId="607271A2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4848" w:type="dxa"/>
            <w:vAlign w:val="center"/>
          </w:tcPr>
          <w:p w14:paraId="217E2D65" w14:textId="480C94CF" w:rsidR="0009222C" w:rsidRPr="00AA3509" w:rsidRDefault="000922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Holidays</w:t>
            </w:r>
          </w:p>
        </w:tc>
        <w:tc>
          <w:tcPr>
            <w:tcW w:w="4848" w:type="dxa"/>
            <w:vAlign w:val="center"/>
          </w:tcPr>
          <w:p w14:paraId="00A0317E" w14:textId="6914D17E" w:rsidR="0009222C" w:rsidRPr="00AA3509" w:rsidRDefault="000922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 life</w:t>
            </w:r>
          </w:p>
        </w:tc>
        <w:tc>
          <w:tcPr>
            <w:tcW w:w="4848" w:type="dxa"/>
            <w:vAlign w:val="center"/>
          </w:tcPr>
          <w:p w14:paraId="1C977249" w14:textId="2ED248BC" w:rsidR="0009222C" w:rsidRPr="00AA3509" w:rsidRDefault="0009222C" w:rsidP="00B373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Food and drink</w:t>
            </w:r>
          </w:p>
        </w:tc>
      </w:tr>
      <w:tr w:rsidR="0009222C" w:rsidRPr="00D76EB4" w14:paraId="6557B66A" w14:textId="77777777" w:rsidTr="00C80288">
        <w:trPr>
          <w:trHeight w:hRule="exact" w:val="1405"/>
        </w:trPr>
        <w:tc>
          <w:tcPr>
            <w:tcW w:w="1191" w:type="dxa"/>
            <w:shd w:val="clear" w:color="auto" w:fill="FFFFE5"/>
            <w:vAlign w:val="center"/>
          </w:tcPr>
          <w:p w14:paraId="6E508E31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4848" w:type="dxa"/>
          </w:tcPr>
          <w:p w14:paraId="499E7473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Talking about a past holiday</w:t>
            </w:r>
          </w:p>
          <w:p w14:paraId="622AA374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“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ir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>”</w:t>
            </w:r>
          </w:p>
          <w:p w14:paraId="1C7AC59D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Saying what you did on holiday</w:t>
            </w:r>
          </w:p>
          <w:p w14:paraId="2A3BCE56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-AR verbs</w:t>
            </w:r>
          </w:p>
          <w:p w14:paraId="6DDEC7DF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Describing the last day of a holiday</w:t>
            </w:r>
          </w:p>
          <w:p w14:paraId="630A7122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tense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of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-ER + -IR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verbs</w:t>
            </w:r>
            <w:proofErr w:type="spellEnd"/>
          </w:p>
          <w:p w14:paraId="2860907E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Giving opinions in the past</w:t>
            </w:r>
          </w:p>
          <w:p w14:paraId="105FA1BD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“ser”</w:t>
            </w:r>
          </w:p>
          <w:p w14:paraId="5C914C6E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Using the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and present tenses together</w:t>
            </w:r>
          </w:p>
          <w:p w14:paraId="236BDD12" w14:textId="4B92209D" w:rsidR="0009222C" w:rsidRPr="00C80288" w:rsidRDefault="005B353A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Future holiday plans</w:t>
            </w:r>
          </w:p>
        </w:tc>
        <w:tc>
          <w:tcPr>
            <w:tcW w:w="4848" w:type="dxa"/>
          </w:tcPr>
          <w:p w14:paraId="12939283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Saying what you use your phone for</w:t>
            </w:r>
          </w:p>
          <w:p w14:paraId="4E633990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Revising the present tense</w:t>
            </w:r>
          </w:p>
          <w:p w14:paraId="18C4F2C5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Saying what type of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</w:rPr>
              <w:t>music</w:t>
            </w:r>
            <w:proofErr w:type="gramEnd"/>
            <w:r w:rsidRPr="00C80288">
              <w:rPr>
                <w:rFonts w:ascii="Arial" w:hAnsi="Arial" w:cs="Arial"/>
                <w:sz w:val="10"/>
                <w:szCs w:val="10"/>
              </w:rPr>
              <w:t xml:space="preserve"> you like</w:t>
            </w:r>
          </w:p>
          <w:p w14:paraId="4791F591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Giving a range of opinions</w:t>
            </w:r>
          </w:p>
          <w:p w14:paraId="03909B0C" w14:textId="0F89EE4B" w:rsidR="0009222C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Talking about TV preferences</w:t>
            </w:r>
          </w:p>
          <w:p w14:paraId="39877F4D" w14:textId="7E086FBB" w:rsidR="004940F2" w:rsidRPr="00C80288" w:rsidRDefault="004940F2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0"/>
                <w:szCs w:val="10"/>
              </w:rPr>
              <w:t>Future plans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for the weekend</w:t>
            </w:r>
          </w:p>
          <w:p w14:paraId="25A1B49A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Using comparatives</w:t>
            </w:r>
          </w:p>
          <w:p w14:paraId="7C0CCB56" w14:textId="3F072101" w:rsidR="0009222C" w:rsidRPr="00C80288" w:rsidRDefault="0009222C" w:rsidP="004940F2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26DA83EE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Saying what </w:t>
            </w:r>
            <w:proofErr w:type="gramStart"/>
            <w:r w:rsidRPr="007949F4">
              <w:rPr>
                <w:rFonts w:ascii="Arial" w:hAnsi="Arial" w:cs="Arial"/>
                <w:sz w:val="10"/>
                <w:szCs w:val="10"/>
              </w:rPr>
              <w:t>food</w:t>
            </w:r>
            <w:proofErr w:type="gramEnd"/>
            <w:r w:rsidRPr="007949F4">
              <w:rPr>
                <w:rFonts w:ascii="Arial" w:hAnsi="Arial" w:cs="Arial"/>
                <w:sz w:val="10"/>
                <w:szCs w:val="10"/>
              </w:rPr>
              <w:t xml:space="preserve"> you like</w:t>
            </w:r>
          </w:p>
          <w:p w14:paraId="617285EE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Giving a range of opinions</w:t>
            </w:r>
          </w:p>
          <w:p w14:paraId="3FDB88C0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Describing mealtimes</w:t>
            </w:r>
          </w:p>
          <w:p w14:paraId="56F9720A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Using negatives</w:t>
            </w:r>
          </w:p>
          <w:p w14:paraId="2175F94D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Ordering a meal</w:t>
            </w:r>
          </w:p>
          <w:p w14:paraId="01693308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Using usted/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ustedes</w:t>
            </w:r>
            <w:proofErr w:type="spellEnd"/>
          </w:p>
          <w:p w14:paraId="11E18D3E" w14:textId="712785FB" w:rsidR="00C80288" w:rsidRPr="00C80288" w:rsidRDefault="00C80288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Study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of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film</w:t>
            </w:r>
            <w:proofErr w:type="gram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Zipe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y Zape y la isla del ca</w:t>
            </w:r>
            <w:r>
              <w:rPr>
                <w:rFonts w:ascii="Arial" w:hAnsi="Arial" w:cs="Arial"/>
                <w:sz w:val="10"/>
                <w:szCs w:val="10"/>
                <w:lang w:val="es-ES_tradnl"/>
              </w:rPr>
              <w:t>pitán</w:t>
            </w:r>
          </w:p>
        </w:tc>
      </w:tr>
      <w:tr w:rsidR="0009222C" w:rsidRPr="00FB5A79" w14:paraId="71695F1F" w14:textId="77777777" w:rsidTr="0009222C">
        <w:trPr>
          <w:trHeight w:hRule="exact" w:val="1295"/>
        </w:trPr>
        <w:tc>
          <w:tcPr>
            <w:tcW w:w="1191" w:type="dxa"/>
            <w:shd w:val="clear" w:color="auto" w:fill="FFFFE5"/>
            <w:vAlign w:val="center"/>
          </w:tcPr>
          <w:p w14:paraId="59D56E7C" w14:textId="7E2102C9" w:rsidR="0009222C" w:rsidRPr="008049F3" w:rsidRDefault="0009222C" w:rsidP="00FB5A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Rationale</w:t>
            </w:r>
          </w:p>
        </w:tc>
        <w:tc>
          <w:tcPr>
            <w:tcW w:w="4848" w:type="dxa"/>
          </w:tcPr>
          <w:p w14:paraId="48CABA45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The first topic of year 8 starts by looking at the previously unseen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but does so by recycling a lot of the vocabulary and grammar structures seen in Y7.</w:t>
            </w:r>
          </w:p>
          <w:p w14:paraId="7BFAD2CC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7E6A11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The grammar here goes into more detail, increasing in challenge throughout the topic. Pupils are introduced to using the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and present tense together which builds upon being able to use the present and the future tense together at the end of year 7.</w:t>
            </w:r>
          </w:p>
          <w:p w14:paraId="2EFE942A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BFC5FB7" w14:textId="3FFA08AB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68C106B4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This topic recaps opinions used in year 7 but builds on it by introducing more complex adjectives and asking pupils to use the same language in different contexts.</w:t>
            </w:r>
          </w:p>
          <w:p w14:paraId="245AA99B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C41440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We also build upon simple opinions by introducing comparatives, giving pupils the opportunity to discuss why they like something more than something else.</w:t>
            </w:r>
          </w:p>
          <w:p w14:paraId="09764A68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F0D30F" w14:textId="24B34BE0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5C01098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Here, we build upon pupils’ knowledge of tenses and opinions but using different vocabulary. Negatives are introduced in more detail to allow pupils to express more strongly their dislikes.</w:t>
            </w:r>
          </w:p>
          <w:p w14:paraId="3586A0D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C6305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Discussion of the formal and informal “you” in Spanish – this is developed through speaking skills, using role plays to consolidate understanding.</w:t>
            </w:r>
          </w:p>
          <w:p w14:paraId="385B6189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DDCFB9" w14:textId="0D729C6E" w:rsidR="0009222C" w:rsidRPr="007949F4" w:rsidRDefault="0009222C" w:rsidP="00132C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222C" w14:paraId="62D123C0" w14:textId="77777777" w:rsidTr="0009222C">
        <w:trPr>
          <w:trHeight w:hRule="exact" w:val="997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70FDF9E4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4848" w:type="dxa"/>
          </w:tcPr>
          <w:p w14:paraId="5A68838E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4940F2">
              <w:rPr>
                <w:rFonts w:ascii="Arial" w:hAnsi="Arial" w:cs="Arial"/>
                <w:b/>
                <w:bCs/>
                <w:sz w:val="10"/>
                <w:szCs w:val="10"/>
              </w:rPr>
              <w:t>Knowledge of</w:t>
            </w:r>
            <w:r w:rsidRPr="00C80288"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6D95CC92" w14:textId="3128CA43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(regular verbs)</w:t>
            </w:r>
          </w:p>
          <w:p w14:paraId="04E42AFC" w14:textId="5FFA18CE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(irregular verbs)</w:t>
            </w:r>
          </w:p>
          <w:p w14:paraId="79B48D07" w14:textId="77777777" w:rsidR="0009222C" w:rsidRPr="00C80288" w:rsidRDefault="0009222C" w:rsidP="004940F2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4848" w:type="dxa"/>
          </w:tcPr>
          <w:p w14:paraId="1E9336FD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4940F2">
              <w:rPr>
                <w:rFonts w:ascii="Arial" w:hAnsi="Arial" w:cs="Arial"/>
                <w:b/>
                <w:bCs/>
                <w:sz w:val="10"/>
                <w:szCs w:val="10"/>
              </w:rPr>
              <w:t>Knowledge o</w:t>
            </w:r>
            <w:r w:rsidRPr="00C80288">
              <w:rPr>
                <w:rFonts w:ascii="Arial" w:hAnsi="Arial" w:cs="Arial"/>
                <w:sz w:val="10"/>
                <w:szCs w:val="10"/>
              </w:rPr>
              <w:t>f:</w:t>
            </w:r>
          </w:p>
          <w:p w14:paraId="10B13BB0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Present tense</w:t>
            </w:r>
          </w:p>
          <w:p w14:paraId="7A4B961E" w14:textId="04D15F94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Comparatives</w:t>
            </w:r>
          </w:p>
          <w:p w14:paraId="6F4C722D" w14:textId="4BD5C071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</w:t>
            </w:r>
          </w:p>
          <w:p w14:paraId="62449E78" w14:textId="27AA1CDB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Near future tense</w:t>
            </w:r>
          </w:p>
          <w:p w14:paraId="43D2FD6B" w14:textId="77777777" w:rsidR="0009222C" w:rsidRPr="00C80288" w:rsidRDefault="0009222C" w:rsidP="004940F2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4848" w:type="dxa"/>
          </w:tcPr>
          <w:p w14:paraId="1050DCD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4940F2">
              <w:rPr>
                <w:rFonts w:ascii="Arial" w:hAnsi="Arial" w:cs="Arial"/>
                <w:b/>
                <w:bCs/>
                <w:sz w:val="10"/>
                <w:szCs w:val="10"/>
              </w:rPr>
              <w:t>Knowledge of</w:t>
            </w:r>
            <w:r w:rsidRPr="007949F4"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292D2497" w14:textId="531F27BA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Present tense</w:t>
            </w:r>
          </w:p>
          <w:p w14:paraId="6D43F005" w14:textId="71AE7F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</w:rPr>
              <w:t xml:space="preserve"> tense</w:t>
            </w:r>
          </w:p>
          <w:p w14:paraId="4E6A7E7E" w14:textId="026B531D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Near future tense</w:t>
            </w:r>
          </w:p>
          <w:p w14:paraId="6A602542" w14:textId="13A8655D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Negatives</w:t>
            </w:r>
          </w:p>
          <w:p w14:paraId="4EE75589" w14:textId="57B0DA2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Formal/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infomal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</w:rPr>
              <w:t xml:space="preserve"> speech</w:t>
            </w:r>
          </w:p>
          <w:p w14:paraId="43E17FDC" w14:textId="77777777" w:rsidR="0009222C" w:rsidRPr="007949F4" w:rsidRDefault="0009222C" w:rsidP="004940F2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</w:tr>
      <w:tr w:rsidR="0009222C" w14:paraId="0CE1778D" w14:textId="77777777" w:rsidTr="004940F2">
        <w:trPr>
          <w:trHeight w:hRule="exact" w:val="536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0C555BD6" w14:textId="77777777" w:rsidR="0009222C" w:rsidRPr="008049F3" w:rsidRDefault="0009222C" w:rsidP="008B42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4848" w:type="dxa"/>
          </w:tcPr>
          <w:p w14:paraId="41B0E77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8D0D2B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E31A4C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718C4E3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4848" w:type="dxa"/>
          </w:tcPr>
          <w:p w14:paraId="2EA2B7CE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3DAE571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450979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02D3CA6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4848" w:type="dxa"/>
          </w:tcPr>
          <w:p w14:paraId="1208AFC1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4DD1A62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EDF6859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BB3242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</w:tr>
      <w:tr w:rsidR="0009222C" w14:paraId="0CFABC47" w14:textId="77777777" w:rsidTr="004940F2">
        <w:trPr>
          <w:trHeight w:hRule="exact" w:val="572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40B4170B" w14:textId="77777777" w:rsidR="0009222C" w:rsidRPr="008049F3" w:rsidRDefault="0009222C" w:rsidP="00B373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Skills</w:t>
            </w:r>
          </w:p>
        </w:tc>
        <w:tc>
          <w:tcPr>
            <w:tcW w:w="4848" w:type="dxa"/>
          </w:tcPr>
          <w:p w14:paraId="57E4CB0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7F4D90B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5DB515F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4E0B3C63" w14:textId="77777777" w:rsidR="0009222C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07189726" w14:textId="240B25C1" w:rsidR="004940F2" w:rsidRPr="007949F4" w:rsidRDefault="004940F2" w:rsidP="00FB5A7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4848" w:type="dxa"/>
          </w:tcPr>
          <w:p w14:paraId="556B4E4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A763A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00A686F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5BF3B12D" w14:textId="77777777" w:rsidR="0009222C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0F9452ED" w14:textId="176264E5" w:rsidR="004940F2" w:rsidRPr="007949F4" w:rsidRDefault="004940F2" w:rsidP="00FB5A7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4848" w:type="dxa"/>
          </w:tcPr>
          <w:p w14:paraId="483E137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7E42A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56D0685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14FB065C" w14:textId="77777777" w:rsidR="0009222C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143FEA16" w14:textId="04AC1E63" w:rsidR="004940F2" w:rsidRPr="007949F4" w:rsidRDefault="004940F2" w:rsidP="00FB5A7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</w:tr>
      <w:tr w:rsidR="0009222C" w14:paraId="62C6937E" w14:textId="77777777" w:rsidTr="0009222C">
        <w:trPr>
          <w:trHeight w:hRule="exact" w:val="577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0A15A273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Key terms</w:t>
            </w:r>
          </w:p>
        </w:tc>
        <w:tc>
          <w:tcPr>
            <w:tcW w:w="4848" w:type="dxa"/>
          </w:tcPr>
          <w:p w14:paraId="5A732E0C" w14:textId="09B912C0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    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Exclamation</w:t>
            </w:r>
          </w:p>
          <w:p w14:paraId="061C4DD8" w14:textId="39C38FCA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Conjugate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  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Irregular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 xml:space="preserve"> </w:t>
            </w:r>
          </w:p>
          <w:p w14:paraId="30906611" w14:textId="328F76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Sequencer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Regular</w:t>
            </w:r>
          </w:p>
          <w:p w14:paraId="0EB650DC" w14:textId="01D76D8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Present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Time expression</w:t>
            </w:r>
          </w:p>
          <w:p w14:paraId="3B4B1742" w14:textId="764DBF8C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Verb</w:t>
            </w:r>
            <w:proofErr w:type="spellEnd"/>
          </w:p>
          <w:p w14:paraId="5558BBB1" w14:textId="44CE2D35" w:rsidR="0009222C" w:rsidRPr="007949F4" w:rsidRDefault="0009222C" w:rsidP="007949F4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4848" w:type="dxa"/>
          </w:tcPr>
          <w:p w14:paraId="482568B1" w14:textId="6A8781C8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Justified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Gist</w:t>
            </w:r>
          </w:p>
          <w:p w14:paraId="43971C15" w14:textId="01D31C1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Comparatives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 xml:space="preserve">Context </w:t>
            </w:r>
          </w:p>
          <w:p w14:paraId="1D0022D9" w14:textId="6C339016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Time expression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Plural</w:t>
            </w:r>
          </w:p>
          <w:p w14:paraId="6CB3C86D" w14:textId="0BC66E94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Frequency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Singular</w:t>
            </w:r>
          </w:p>
        </w:tc>
        <w:tc>
          <w:tcPr>
            <w:tcW w:w="4848" w:type="dxa"/>
          </w:tcPr>
          <w:p w14:paraId="6744BB0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Formal</w:t>
            </w:r>
          </w:p>
          <w:p w14:paraId="0D6F46B2" w14:textId="401EB08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Informal</w:t>
            </w:r>
          </w:p>
          <w:p w14:paraId="75338B26" w14:textId="12900B13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Negative structure </w:t>
            </w:r>
          </w:p>
        </w:tc>
      </w:tr>
      <w:tr w:rsidR="0009222C" w14:paraId="12D1425A" w14:textId="77777777" w:rsidTr="0009222C">
        <w:trPr>
          <w:trHeight w:hRule="exact" w:val="288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77152B3A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4848" w:type="dxa"/>
          </w:tcPr>
          <w:p w14:paraId="022843D7" w14:textId="5AB41F46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5B3732F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Activity frequency</w:t>
            </w:r>
          </w:p>
          <w:p w14:paraId="5DBF34A5" w14:textId="25C034E3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Charts of which activities are preferred</w:t>
            </w:r>
          </w:p>
        </w:tc>
        <w:tc>
          <w:tcPr>
            <w:tcW w:w="4848" w:type="dxa"/>
          </w:tcPr>
          <w:p w14:paraId="0B5377DC" w14:textId="0C96B83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Prices </w:t>
            </w:r>
          </w:p>
        </w:tc>
      </w:tr>
      <w:tr w:rsidR="0009222C" w14:paraId="205C61B5" w14:textId="77777777" w:rsidTr="0009222C">
        <w:trPr>
          <w:trHeight w:hRule="exact" w:val="562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00EB3736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4848" w:type="dxa"/>
          </w:tcPr>
          <w:p w14:paraId="5AB1D52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734B1E6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23D9FD3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CD39F1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4848" w:type="dxa"/>
          </w:tcPr>
          <w:p w14:paraId="5D8BF29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5CE6DA7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1F58870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224142C2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4848" w:type="dxa"/>
          </w:tcPr>
          <w:p w14:paraId="3CAAC1D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7DDAA21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788BEB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409709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</w:tr>
      <w:tr w:rsidR="0009222C" w14:paraId="3AFCB5CE" w14:textId="77777777" w:rsidTr="0009222C">
        <w:trPr>
          <w:trHeight w:hRule="exact" w:val="438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131D15B4" w14:textId="77777777" w:rsidR="0009222C" w:rsidRPr="008049F3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4848" w:type="dxa"/>
          </w:tcPr>
          <w:p w14:paraId="5DD64FAA" w14:textId="628921A6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01BB0C38" w14:textId="41DCCB4D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7FD0838D" w14:textId="4B20A92E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0F727AE1" w14:textId="1958052B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35E0B187" w14:textId="2A0E901A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48" w:type="dxa"/>
          </w:tcPr>
          <w:p w14:paraId="08074CD5" w14:textId="3C8852C2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1B1B311E" w14:textId="5A16718A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222C" w14:paraId="64DE0D34" w14:textId="77777777" w:rsidTr="0009222C">
        <w:trPr>
          <w:trHeight w:hRule="exact" w:val="785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0BD773C2" w14:textId="77777777" w:rsidR="0009222C" w:rsidRPr="008049F3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SMSC &amp; </w:t>
            </w:r>
            <w:r w:rsidRPr="008049F3">
              <w:rPr>
                <w:rFonts w:ascii="Arial" w:hAnsi="Arial" w:cs="Arial"/>
                <w:b/>
                <w:sz w:val="16"/>
                <w:szCs w:val="16"/>
              </w:rPr>
              <w:t>Cultural Capital</w:t>
            </w:r>
          </w:p>
        </w:tc>
        <w:tc>
          <w:tcPr>
            <w:tcW w:w="4848" w:type="dxa"/>
          </w:tcPr>
          <w:p w14:paraId="7E342DEF" w14:textId="7E1CCCA2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Researching Hispanic countries – differences between them and the UK.</w:t>
            </w:r>
          </w:p>
        </w:tc>
        <w:tc>
          <w:tcPr>
            <w:tcW w:w="4848" w:type="dxa"/>
          </w:tcPr>
          <w:p w14:paraId="70DB2907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Pros and cons of technology – are young people addicted?</w:t>
            </w:r>
          </w:p>
          <w:p w14:paraId="343D6F81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Difference between music styles in Hispanic countries and UK.</w:t>
            </w:r>
          </w:p>
          <w:p w14:paraId="32D32EAC" w14:textId="51689588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848" w:type="dxa"/>
          </w:tcPr>
          <w:p w14:paraId="5BE27409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Differences in food in UK and Spain – food tasting to be done.</w:t>
            </w:r>
          </w:p>
          <w:p w14:paraId="2C166AAB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Looking at healthy living – healthy and unhealthy foods.</w:t>
            </w:r>
          </w:p>
          <w:p w14:paraId="6AB25845" w14:textId="3107CF82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Understanding formal and informal </w:t>
            </w:r>
          </w:p>
        </w:tc>
      </w:tr>
      <w:tr w:rsidR="0009222C" w14:paraId="23BF6849" w14:textId="77777777" w:rsidTr="0009222C">
        <w:trPr>
          <w:trHeight w:hRule="exact" w:val="554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35AD5F27" w14:textId="073873B6" w:rsidR="0009222C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Linking curriculum to careers</w:t>
            </w:r>
          </w:p>
        </w:tc>
        <w:tc>
          <w:tcPr>
            <w:tcW w:w="4848" w:type="dxa"/>
          </w:tcPr>
          <w:p w14:paraId="57283E26" w14:textId="7E1CBFC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European Day of Languages – how languages and careers go together</w:t>
            </w:r>
          </w:p>
        </w:tc>
        <w:tc>
          <w:tcPr>
            <w:tcW w:w="4848" w:type="dxa"/>
          </w:tcPr>
          <w:p w14:paraId="3DE50F9F" w14:textId="58C61DD4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4848" w:type="dxa"/>
          </w:tcPr>
          <w:p w14:paraId="17951C1C" w14:textId="25B286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Role plays of working in a restaurant</w:t>
            </w:r>
          </w:p>
        </w:tc>
      </w:tr>
    </w:tbl>
    <w:p w14:paraId="01108D31" w14:textId="77777777" w:rsidR="00F91B40" w:rsidRPr="00CA1424" w:rsidRDefault="00F91B40">
      <w:pPr>
        <w:rPr>
          <w:sz w:val="2"/>
          <w:szCs w:val="2"/>
        </w:rPr>
      </w:pPr>
    </w:p>
    <w:sectPr w:rsidR="00F91B40" w:rsidRPr="00CA1424" w:rsidSect="00F9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C5A"/>
    <w:multiLevelType w:val="hybridMultilevel"/>
    <w:tmpl w:val="6E6CB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8544F"/>
    <w:multiLevelType w:val="hybridMultilevel"/>
    <w:tmpl w:val="481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0782">
    <w:abstractNumId w:val="0"/>
  </w:num>
  <w:num w:numId="2" w16cid:durableId="107493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9222C"/>
    <w:rsid w:val="000C58FB"/>
    <w:rsid w:val="000F48A0"/>
    <w:rsid w:val="00132C7F"/>
    <w:rsid w:val="00143A86"/>
    <w:rsid w:val="0019638E"/>
    <w:rsid w:val="001D6B38"/>
    <w:rsid w:val="00222295"/>
    <w:rsid w:val="002223E7"/>
    <w:rsid w:val="002521A2"/>
    <w:rsid w:val="002D64DC"/>
    <w:rsid w:val="002F6A82"/>
    <w:rsid w:val="00313819"/>
    <w:rsid w:val="00321044"/>
    <w:rsid w:val="00333763"/>
    <w:rsid w:val="0035518C"/>
    <w:rsid w:val="00390038"/>
    <w:rsid w:val="003B7554"/>
    <w:rsid w:val="00405DD0"/>
    <w:rsid w:val="004172AF"/>
    <w:rsid w:val="00450125"/>
    <w:rsid w:val="00485140"/>
    <w:rsid w:val="004940F2"/>
    <w:rsid w:val="004F3FFE"/>
    <w:rsid w:val="0058274B"/>
    <w:rsid w:val="0059102A"/>
    <w:rsid w:val="005A5C37"/>
    <w:rsid w:val="005B353A"/>
    <w:rsid w:val="005B431E"/>
    <w:rsid w:val="00692E98"/>
    <w:rsid w:val="006E143F"/>
    <w:rsid w:val="006E6EBB"/>
    <w:rsid w:val="00707108"/>
    <w:rsid w:val="00760940"/>
    <w:rsid w:val="00765821"/>
    <w:rsid w:val="007949F4"/>
    <w:rsid w:val="007D2840"/>
    <w:rsid w:val="008049F3"/>
    <w:rsid w:val="008A0354"/>
    <w:rsid w:val="008A7697"/>
    <w:rsid w:val="008B42E4"/>
    <w:rsid w:val="00917C5B"/>
    <w:rsid w:val="00924D92"/>
    <w:rsid w:val="00965BB0"/>
    <w:rsid w:val="00976CE7"/>
    <w:rsid w:val="00977109"/>
    <w:rsid w:val="009C56F1"/>
    <w:rsid w:val="009E68C4"/>
    <w:rsid w:val="00A63F86"/>
    <w:rsid w:val="00A74C2F"/>
    <w:rsid w:val="00A7788B"/>
    <w:rsid w:val="00AA3509"/>
    <w:rsid w:val="00AD05ED"/>
    <w:rsid w:val="00B37385"/>
    <w:rsid w:val="00B629E9"/>
    <w:rsid w:val="00B97161"/>
    <w:rsid w:val="00C20427"/>
    <w:rsid w:val="00C66F09"/>
    <w:rsid w:val="00C80288"/>
    <w:rsid w:val="00CA1424"/>
    <w:rsid w:val="00CC0EDC"/>
    <w:rsid w:val="00CF01B5"/>
    <w:rsid w:val="00D35A6D"/>
    <w:rsid w:val="00D65C9F"/>
    <w:rsid w:val="00D76EB4"/>
    <w:rsid w:val="00DA284C"/>
    <w:rsid w:val="00DC1C4B"/>
    <w:rsid w:val="00DE2E0B"/>
    <w:rsid w:val="00E20CED"/>
    <w:rsid w:val="00E21AAC"/>
    <w:rsid w:val="00E50F24"/>
    <w:rsid w:val="00E86C54"/>
    <w:rsid w:val="00E86F17"/>
    <w:rsid w:val="00EF0195"/>
    <w:rsid w:val="00EF6305"/>
    <w:rsid w:val="00F14EE6"/>
    <w:rsid w:val="00F603C5"/>
    <w:rsid w:val="00F91B40"/>
    <w:rsid w:val="00F95145"/>
    <w:rsid w:val="00FB5A79"/>
    <w:rsid w:val="00FD31E8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8A8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E15F-48CD-468A-99DA-59D6FDDC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Alex Foy</cp:lastModifiedBy>
  <cp:revision>2</cp:revision>
  <dcterms:created xsi:type="dcterms:W3CDTF">2022-09-04T08:06:00Z</dcterms:created>
  <dcterms:modified xsi:type="dcterms:W3CDTF">2022-09-04T08:06:00Z</dcterms:modified>
</cp:coreProperties>
</file>